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6067">
      <w:pPr>
        <w:rPr>
          <w:rFonts w:ascii="Tahoma" w:hAnsi="Tahoma"/>
          <w:sz w:val="20"/>
        </w:rPr>
      </w:pPr>
      <w:r>
        <w:rPr>
          <w:rFonts w:ascii="Tahoma" w:hAnsi="Tahoma"/>
          <w:b/>
          <w:bCs/>
        </w:rPr>
        <w:t xml:space="preserve">PEST Analysis Template </w:t>
      </w:r>
      <w:r>
        <w:rPr>
          <w:rFonts w:ascii="Tahoma" w:hAnsi="Tahoma"/>
          <w:sz w:val="20"/>
        </w:rPr>
        <w:t xml:space="preserve"> </w:t>
      </w:r>
    </w:p>
    <w:p w:rsidR="00000000" w:rsidRDefault="00416067">
      <w:pPr>
        <w:rPr>
          <w:rFonts w:ascii="Tahoma" w:eastAsia="Times New Roman" w:hAnsi="Tahoma"/>
          <w:sz w:val="6"/>
          <w:szCs w:val="6"/>
          <w:lang w:eastAsia="ar-SA"/>
        </w:rPr>
      </w:pPr>
    </w:p>
    <w:p w:rsidR="00000000" w:rsidRDefault="00416067">
      <w:pPr>
        <w:rPr>
          <w:rFonts w:ascii="Tahoma" w:eastAsia="Times New Roman" w:hAnsi="Tahoma"/>
          <w:sz w:val="20"/>
          <w:lang w:eastAsia="ar-SA"/>
        </w:rPr>
      </w:pPr>
      <w:r>
        <w:rPr>
          <w:rFonts w:ascii="Tahoma" w:eastAsia="Times New Roman" w:hAnsi="Tahoma"/>
          <w:sz w:val="20"/>
          <w:lang w:eastAsia="ar-SA"/>
        </w:rPr>
        <w:t>Situation being analysed: ______________________________________________________________________</w:t>
      </w:r>
    </w:p>
    <w:p w:rsidR="00000000" w:rsidRDefault="00416067">
      <w:pPr>
        <w:rPr>
          <w:rFonts w:ascii="Tahoma" w:eastAsia="Times New Roman" w:hAnsi="Tahoma"/>
          <w:sz w:val="6"/>
          <w:szCs w:val="6"/>
          <w:lang w:eastAsia="ar-SA"/>
        </w:rPr>
      </w:pPr>
    </w:p>
    <w:p w:rsidR="00000000" w:rsidRDefault="00416067">
      <w:pPr>
        <w:pStyle w:val="SmallStyle"/>
        <w:rPr>
          <w:sz w:val="20"/>
          <w:szCs w:val="32"/>
          <w:lang w:val="en-US" w:eastAsia="en-US" w:bidi="en-US"/>
        </w:rPr>
      </w:pPr>
      <w:r>
        <w:rPr>
          <w:sz w:val="20"/>
          <w:szCs w:val="32"/>
          <w:lang w:val="en-US" w:eastAsia="en-US" w:bidi="en-US"/>
        </w:rPr>
        <w:t>PEST analysis (political, economical, social, technological) assesses a market, including competitors, from the standpoint of a part</w:t>
      </w:r>
      <w:r>
        <w:rPr>
          <w:sz w:val="20"/>
          <w:szCs w:val="32"/>
          <w:lang w:val="en-US" w:eastAsia="en-US" w:bidi="en-US"/>
        </w:rPr>
        <w:t xml:space="preserve">icular proposition or a business. </w:t>
      </w:r>
    </w:p>
    <w:p w:rsidR="00000000" w:rsidRDefault="00416067">
      <w:pPr>
        <w:rPr>
          <w:rFonts w:ascii="Tahoma" w:eastAsia="Times New Roman" w:hAnsi="Tahoma"/>
          <w:sz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26"/>
        <w:gridCol w:w="2961"/>
        <w:gridCol w:w="2964"/>
        <w:gridCol w:w="2026"/>
      </w:tblGrid>
      <w:tr w:rsidR="00000000">
        <w:trPr>
          <w:trHeight w:val="3589"/>
        </w:trPr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16067">
            <w:pPr>
              <w:snapToGrid w:val="0"/>
              <w:rPr>
                <w:rFonts w:ascii="Tahoma" w:eastAsia="Times New Roman" w:hAnsi="Tahoma"/>
                <w:b/>
                <w:bCs/>
                <w:sz w:val="16"/>
                <w:lang w:eastAsia="ar-SA"/>
              </w:rPr>
            </w:pPr>
            <w:r>
              <w:rPr>
                <w:rFonts w:ascii="Tahoma" w:eastAsia="Times New Roman" w:hAnsi="Tahoma"/>
                <w:b/>
                <w:bCs/>
                <w:sz w:val="16"/>
                <w:lang w:eastAsia="ar-SA"/>
              </w:rPr>
              <w:t xml:space="preserve">criteria examples </w:t>
            </w:r>
          </w:p>
          <w:p w:rsidR="00000000" w:rsidRDefault="00416067">
            <w:pPr>
              <w:rPr>
                <w:rFonts w:ascii="Tahoma" w:eastAsia="Times New Roman" w:hAnsi="Tahoma"/>
                <w:sz w:val="16"/>
                <w:lang w:eastAsia="ar-SA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ecological/environmental current legislation 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future legislation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international legislation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regulatory bodies and processes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government policies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government term and change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trading policies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fundin</w:t>
            </w:r>
            <w:r>
              <w:rPr>
                <w:szCs w:val="32"/>
                <w:lang w:val="en-US" w:eastAsia="en-US" w:bidi="en-US"/>
              </w:rPr>
              <w:t xml:space="preserve">g, grants and initiatives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home market pressure- groups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international pressure- groups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wars and conflicts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</w:pPr>
          </w:p>
        </w:tc>
        <w:tc>
          <w:tcPr>
            <w:tcW w:w="2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16067">
            <w:pPr>
              <w:pStyle w:val="TableContents"/>
              <w:snapToGrid w:val="0"/>
              <w:rPr>
                <w:rFonts w:ascii="Tahoma" w:eastAsia="Times New Roman" w:hAnsi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bCs/>
                <w:color w:val="FF0000"/>
                <w:sz w:val="16"/>
                <w:szCs w:val="16"/>
              </w:rPr>
              <w:t>political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16067">
            <w:pPr>
              <w:pStyle w:val="TableContents"/>
              <w:snapToGrid w:val="0"/>
              <w:rPr>
                <w:rFonts w:ascii="Tahoma" w:eastAsia="Times New Roman" w:hAnsi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bCs/>
                <w:color w:val="FF0000"/>
                <w:sz w:val="16"/>
                <w:szCs w:val="16"/>
              </w:rPr>
              <w:t>economical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416067">
            <w:pPr>
              <w:pStyle w:val="Heading2"/>
              <w:tabs>
                <w:tab w:val="left" w:pos="0"/>
              </w:tabs>
              <w:snapToGrid w:val="0"/>
              <w:spacing w:before="0" w:after="0"/>
              <w:rPr>
                <w:rFonts w:ascii="Tahoma" w:eastAsia="Times New Roman" w:hAnsi="Tahoma"/>
                <w:sz w:val="16"/>
                <w:lang w:eastAsia="ar-SA"/>
              </w:rPr>
            </w:pPr>
            <w:r>
              <w:rPr>
                <w:rFonts w:ascii="Tahoma" w:eastAsia="Times New Roman" w:hAnsi="Tahoma"/>
                <w:sz w:val="16"/>
                <w:lang w:eastAsia="ar-SA"/>
              </w:rPr>
              <w:t>criteria examples</w:t>
            </w:r>
          </w:p>
          <w:p w:rsidR="00000000" w:rsidRDefault="00416067">
            <w:pPr>
              <w:pStyle w:val="Heading2"/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sz w:val="16"/>
                <w:lang w:eastAsia="ar-SA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home economy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economy trends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overseas economies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 xml:space="preserve">general taxation 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taxation specific to product/service</w:t>
            </w:r>
            <w:r>
              <w:rPr>
                <w:szCs w:val="32"/>
                <w:lang w:val="en-US" w:eastAsia="en-US" w:bidi="en-US"/>
              </w:rPr>
              <w:t>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seasonality issues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market/trade cycles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specific industry factors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market routes trends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distribution trends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customer/end-user drivers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interest/ exchange rates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international trade and monetary issues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</w:tc>
      </w:tr>
      <w:tr w:rsidR="00000000"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416067">
            <w:pPr>
              <w:pStyle w:val="Heading2"/>
              <w:tabs>
                <w:tab w:val="left" w:pos="0"/>
              </w:tabs>
              <w:snapToGrid w:val="0"/>
              <w:spacing w:before="0" w:after="0"/>
              <w:rPr>
                <w:rFonts w:ascii="Tahoma" w:eastAsia="Times New Roman" w:hAnsi="Tahoma"/>
                <w:sz w:val="16"/>
                <w:lang w:eastAsia="ar-SA"/>
              </w:rPr>
            </w:pPr>
            <w:r>
              <w:rPr>
                <w:rFonts w:ascii="Tahoma" w:eastAsia="Times New Roman" w:hAnsi="Tahoma"/>
                <w:sz w:val="16"/>
                <w:lang w:eastAsia="ar-SA"/>
              </w:rPr>
              <w:t>criteria examples</w:t>
            </w:r>
          </w:p>
          <w:p w:rsidR="00000000" w:rsidRDefault="00416067">
            <w:pPr>
              <w:pStyle w:val="Heading2"/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sz w:val="16"/>
                <w:lang w:eastAsia="ar-SA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lifestyle trends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demographics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consumer attitudes and opinions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media views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law changes affecting social factors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brand, company, technology image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consumer buying patterns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fashion and role models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major events and influences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buying access and trends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ethnic/religious factors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advertising an</w:t>
            </w:r>
            <w:r>
              <w:rPr>
                <w:szCs w:val="32"/>
                <w:lang w:val="en-US" w:eastAsia="en-US" w:bidi="en-US"/>
              </w:rPr>
              <w:t>d publicity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ethical issues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</w:p>
          <w:p w:rsidR="00000000" w:rsidRDefault="00416067">
            <w:pPr>
              <w:pStyle w:val="SmallStyle"/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416067">
            <w:pPr>
              <w:pStyle w:val="TableContents"/>
              <w:snapToGrid w:val="0"/>
              <w:rPr>
                <w:rFonts w:ascii="Tahoma" w:eastAsia="Times New Roman" w:hAnsi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bCs/>
                <w:color w:val="FF0000"/>
                <w:sz w:val="16"/>
                <w:szCs w:val="16"/>
              </w:rPr>
              <w:t>social</w:t>
            </w:r>
          </w:p>
        </w:tc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416067">
            <w:pPr>
              <w:pStyle w:val="TableContents"/>
              <w:snapToGrid w:val="0"/>
              <w:rPr>
                <w:rFonts w:ascii="Tahoma" w:eastAsia="Times New Roman" w:hAnsi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bCs/>
                <w:color w:val="FF0000"/>
                <w:sz w:val="16"/>
                <w:szCs w:val="16"/>
              </w:rPr>
              <w:t>technological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416067">
            <w:pPr>
              <w:pStyle w:val="Heading2"/>
              <w:tabs>
                <w:tab w:val="left" w:pos="0"/>
              </w:tabs>
              <w:snapToGrid w:val="0"/>
              <w:spacing w:before="0" w:after="0"/>
              <w:rPr>
                <w:rFonts w:ascii="Tahoma" w:eastAsia="Times New Roman" w:hAnsi="Tahoma"/>
                <w:sz w:val="16"/>
                <w:lang w:eastAsia="ar-SA"/>
              </w:rPr>
            </w:pPr>
            <w:r>
              <w:rPr>
                <w:rFonts w:ascii="Tahoma" w:eastAsia="Times New Roman" w:hAnsi="Tahoma"/>
                <w:sz w:val="16"/>
                <w:lang w:eastAsia="ar-SA"/>
              </w:rPr>
              <w:t>criteria examples</w:t>
            </w:r>
          </w:p>
          <w:p w:rsidR="00000000" w:rsidRDefault="00416067">
            <w:pPr>
              <w:pStyle w:val="Heading2"/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sz w:val="16"/>
                <w:lang w:eastAsia="ar-SA"/>
              </w:rPr>
            </w:pP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competing technology development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research funding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associated/dependent technologies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replacement technology/solutions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maturity of technology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manufacturing maturity and capacity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inform</w:t>
            </w:r>
            <w:r>
              <w:rPr>
                <w:szCs w:val="32"/>
                <w:lang w:val="en-US" w:eastAsia="en-US" w:bidi="en-US"/>
              </w:rPr>
              <w:t>ation and communications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consumer buying mechanisms/technology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technology legislation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innovation potential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technology access, licencing, patents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intellectual property issues</w:t>
            </w:r>
          </w:p>
          <w:p w:rsidR="00000000" w:rsidRDefault="00416067">
            <w:pPr>
              <w:pStyle w:val="SmallStyle"/>
              <w:rPr>
                <w:szCs w:val="32"/>
                <w:lang w:val="en-US" w:eastAsia="en-US" w:bidi="en-US"/>
              </w:rPr>
            </w:pPr>
            <w:r>
              <w:rPr>
                <w:szCs w:val="32"/>
                <w:lang w:val="en-US" w:eastAsia="en-US" w:bidi="en-US"/>
              </w:rPr>
              <w:t>global communications</w:t>
            </w:r>
          </w:p>
        </w:tc>
      </w:tr>
    </w:tbl>
    <w:p w:rsidR="00000000" w:rsidRDefault="00416067"/>
    <w:p w:rsidR="00000000" w:rsidRDefault="00416067">
      <w:pPr>
        <w:pStyle w:val="SmallStyle"/>
      </w:pPr>
      <w:r>
        <w:rPr>
          <w:sz w:val="20"/>
          <w:szCs w:val="20"/>
          <w:lang w:val="en-US" w:eastAsia="en-US" w:bidi="en-US"/>
        </w:rPr>
        <w:t>Note: PEST analysis can be useful before SWOT analysis bec</w:t>
      </w:r>
      <w:r>
        <w:rPr>
          <w:sz w:val="20"/>
          <w:szCs w:val="20"/>
          <w:lang w:val="en-US" w:eastAsia="en-US" w:bidi="en-US"/>
        </w:rPr>
        <w:t xml:space="preserve">ause PEST helps to identify SWOT factors. PEST and SWOT are two different perspectives but can contain common factors.  SWOT stands for strengths, weaknesses, opportunities, threats. </w:t>
      </w:r>
      <w:r>
        <w:rPr>
          <w:sz w:val="20"/>
          <w:szCs w:val="20"/>
          <w:lang w:val="en-US"/>
        </w:rPr>
        <w:t xml:space="preserve">SWOT analysis explanation and templates are at </w:t>
      </w:r>
      <w:hyperlink r:id="rId5" w:history="1">
        <w:r>
          <w:rPr>
            <w:rStyle w:val="Hyperlink"/>
          </w:rPr>
          <w:t>www.businessballs.com/swotanalysisfreetemplate.htm</w:t>
        </w:r>
      </w:hyperlink>
    </w:p>
    <w:p w:rsidR="00000000" w:rsidRDefault="00416067"/>
    <w:p w:rsidR="00000000" w:rsidRDefault="00416067"/>
    <w:p w:rsidR="00416067" w:rsidRDefault="00416067">
      <w:pPr>
        <w:rPr>
          <w:rFonts w:ascii="Tahoma" w:eastAsia="Times New Roman" w:hAnsi="Tahoma"/>
          <w:sz w:val="16"/>
          <w:szCs w:val="16"/>
          <w:lang w:eastAsia="ar-SA"/>
        </w:rPr>
      </w:pPr>
      <w:r>
        <w:rPr>
          <w:rFonts w:ascii="Tahoma" w:eastAsia="Times New Roman" w:hAnsi="Tahoma"/>
          <w:sz w:val="16"/>
          <w:szCs w:val="16"/>
          <w:lang w:eastAsia="ar-SA"/>
        </w:rPr>
        <w:t xml:space="preserve">© Businessballs 2009.  A free PDF version of this tool and information about PEST analysis methods are available at    </w:t>
      </w:r>
      <w:hyperlink r:id="rId6" w:history="1">
        <w:r>
          <w:rPr>
            <w:rStyle w:val="Hyperlink"/>
            <w:rFonts w:ascii="Tahoma" w:hAnsi="Tahoma"/>
          </w:rPr>
          <w:t>www.businessballs.com/pestanalysisfreetemplate.htm</w:t>
        </w:r>
      </w:hyperlink>
      <w:r>
        <w:rPr>
          <w:rFonts w:ascii="Tahoma" w:eastAsia="Times New Roman" w:hAnsi="Tahoma"/>
          <w:sz w:val="16"/>
          <w:szCs w:val="16"/>
          <w:lang w:eastAsia="ar-SA"/>
        </w:rPr>
        <w:t xml:space="preserve">  A free resource from </w:t>
      </w:r>
      <w:hyperlink r:id="rId7" w:history="1">
        <w:r>
          <w:rPr>
            <w:rStyle w:val="Hyperlink"/>
            <w:rFonts w:ascii="Tahoma" w:hAnsi="Tahoma"/>
          </w:rPr>
          <w:t>www.businessballs.com</w:t>
        </w:r>
      </w:hyperlink>
      <w:r>
        <w:rPr>
          <w:rFonts w:ascii="Tahoma" w:eastAsia="Times New Roman" w:hAnsi="Tahoma"/>
          <w:sz w:val="16"/>
          <w:szCs w:val="16"/>
          <w:lang w:eastAsia="ar-SA"/>
        </w:rPr>
        <w:t xml:space="preserve">  Not to be sold or published.</w:t>
      </w:r>
    </w:p>
    <w:sectPr w:rsidR="004160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4D3D"/>
    <w:rsid w:val="00416067"/>
    <w:rsid w:val="00A1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mallStyle">
    <w:name w:val="SmallStyle"/>
    <w:basedOn w:val="Normal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bal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balls.com/pestanalysisfreetemplate.htm" TargetMode="External"/><Relationship Id="rId5" Type="http://schemas.openxmlformats.org/officeDocument/2006/relationships/hyperlink" Target="http://www.businessballs.com/swotanalysisfreetemplat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cp:lastModifiedBy>David Crowe</cp:lastModifiedBy>
  <cp:revision>2</cp:revision>
  <cp:lastPrinted>1601-01-01T00:00:00Z</cp:lastPrinted>
  <dcterms:created xsi:type="dcterms:W3CDTF">2013-07-25T12:32:00Z</dcterms:created>
  <dcterms:modified xsi:type="dcterms:W3CDTF">2013-07-25T12:32:00Z</dcterms:modified>
</cp:coreProperties>
</file>